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E8" w:rsidRPr="008F65E8" w:rsidRDefault="008F65E8" w:rsidP="008F65E8">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8F65E8">
        <w:rPr>
          <w:rFonts w:ascii="Georgia" w:hAnsi="Georgia" w:cs="Arial"/>
          <w:b w:val="0"/>
          <w:bCs w:val="0"/>
          <w:color w:val="B92517"/>
          <w:spacing w:val="-5"/>
          <w:sz w:val="58"/>
          <w:szCs w:val="58"/>
          <w:lang w:val="es-ES"/>
        </w:rPr>
        <w:t>C144 - Convenio sobre la consulta tripartita (normas internacionales del trabajo), 1976 (núm. 144)</w:t>
      </w:r>
    </w:p>
    <w:p w:rsidR="008F65E8" w:rsidRPr="008F65E8" w:rsidRDefault="008F65E8" w:rsidP="008F65E8">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8F65E8">
        <w:rPr>
          <w:rFonts w:ascii="Arial" w:hAnsi="Arial" w:cs="Arial"/>
          <w:b w:val="0"/>
          <w:bCs w:val="0"/>
          <w:i/>
          <w:iCs/>
          <w:color w:val="333333"/>
          <w:sz w:val="41"/>
          <w:szCs w:val="41"/>
          <w:lang w:val="es-ES"/>
        </w:rPr>
        <w:t>Convenio sobre consultas tripartitas para promover la aplicación de las normas internacionales del trabajo (Entrada en vigor: 16 mayo 1978)</w:t>
      </w:r>
      <w:r w:rsidRPr="008F65E8">
        <w:rPr>
          <w:rStyle w:val="secondline"/>
          <w:rFonts w:ascii="Arial" w:hAnsi="Arial" w:cs="Arial"/>
          <w:b w:val="0"/>
          <w:bCs w:val="0"/>
          <w:i/>
          <w:iCs/>
          <w:color w:val="333333"/>
          <w:sz w:val="33"/>
          <w:szCs w:val="33"/>
          <w:lang w:val="es-ES"/>
        </w:rPr>
        <w:t>Adopción: Ginebra, 61ª reunión CIT (21 junio 1976) - Estatus: Instrumento actualizado (Convenios De gobernanza (prioritarios)).</w:t>
      </w:r>
    </w:p>
    <w:p w:rsidR="008F65E8" w:rsidRPr="008F65E8" w:rsidRDefault="008F65E8" w:rsidP="008F65E8">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8F65E8">
        <w:rPr>
          <w:rFonts w:ascii="Georgia" w:hAnsi="Georgia" w:cs="Arial"/>
          <w:color w:val="B92517"/>
          <w:sz w:val="23"/>
          <w:szCs w:val="23"/>
          <w:lang w:val="es-ES"/>
        </w:rPr>
        <w:t>Preámbulo</w:t>
      </w:r>
    </w:p>
    <w:p w:rsidR="008F65E8" w:rsidRPr="008F65E8" w:rsidRDefault="008F65E8" w:rsidP="008F65E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t>La Conferencia General de la Organización Internacional del Trabajo:</w:t>
      </w:r>
    </w:p>
    <w:p w:rsidR="008F65E8" w:rsidRPr="008F65E8" w:rsidRDefault="008F65E8" w:rsidP="008F65E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t>Convocada en Ginebra por el Consejo de Administración de la Oficina Internacional del Trabajo, y congregada en dicha ciudad el 2 junio 1976 en su sexagésima primera reunión;</w:t>
      </w:r>
    </w:p>
    <w:p w:rsidR="008F65E8" w:rsidRPr="008F65E8" w:rsidRDefault="008F65E8" w:rsidP="008F65E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t>Recordando las disposiciones de los convenios y recomendaciones internacionales del trabajo existentes -- y en particular del Convenio sobre la libertad sindical y la protección del derecho de sindicación, 1948; del Convenio sobre el derecho de sindicación y de negociación colectiva, 1949, y de la Recomendación sobre la consulta (ramas de actividad económica y ámbito nacional), 1960 -- que afirman el derecho de los empleadores y de los trabajadores de establecer organizaciones libres e independientes y piden que se adopten medidas para promover consultas efectivas en el ámbito nacional entre las autoridades públicas y las organizaciones de empleadores y de trabajadores, así como las disposiciones de numerosos convenios y recomendaciones internacionales del trabajo que disponen que se consulte a las organizaciones de empleadores y de trabajadores sobre las medidas que deben tomarse para darles efecto;</w:t>
      </w:r>
    </w:p>
    <w:p w:rsidR="008F65E8" w:rsidRPr="008F65E8" w:rsidRDefault="008F65E8" w:rsidP="008F65E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t>Habiendo considerado el cuarto punto del orden del día de la reunión, titulado "Establecimiento de mecanismos tripartitos para promover la aplicación de las normas internacionales del trabajo", y habiendo decidido adoptar ciertas propuestas relativas a consultas tripartitas para promover la aplicación de las normas internacionales del trabajo, y</w:t>
      </w:r>
    </w:p>
    <w:p w:rsidR="008F65E8" w:rsidRPr="008F65E8" w:rsidRDefault="008F65E8" w:rsidP="008F65E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lastRenderedPageBreak/>
        <w:t>Después de haber decidido que dichas proposiciones revistan la forma de un convenio internacional,</w:t>
      </w:r>
    </w:p>
    <w:p w:rsidR="008F65E8" w:rsidRPr="008F65E8" w:rsidRDefault="008F65E8" w:rsidP="008F65E8">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t>adopta, con fecha veintiuno de junio de mil novecientos setenta y seis, el presente Convenio, que podrá ser citado como el Convenio sobre la consulta tripartita (normas internacionales del trabajo), 1976:</w:t>
      </w:r>
    </w:p>
    <w:p w:rsidR="008F65E8" w:rsidRP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8F65E8">
        <w:rPr>
          <w:rFonts w:ascii="Georgia" w:hAnsi="Georgia" w:cs="Arial"/>
          <w:i/>
          <w:iCs/>
          <w:color w:val="333333"/>
          <w:sz w:val="21"/>
          <w:szCs w:val="21"/>
          <w:lang w:val="es-ES"/>
        </w:rPr>
        <w:t>Artículo 1</w:t>
      </w:r>
    </w:p>
    <w:p w:rsidR="008F65E8" w:rsidRPr="008F65E8" w:rsidRDefault="008F65E8" w:rsidP="008F65E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t>En el presente Convenio, la expresión</w:t>
      </w:r>
      <w:r w:rsidRPr="008F65E8">
        <w:rPr>
          <w:rStyle w:val="apple-converted-space"/>
          <w:rFonts w:ascii="Georgia" w:hAnsi="Georgia" w:cs="Arial"/>
          <w:color w:val="333333"/>
          <w:sz w:val="18"/>
          <w:szCs w:val="18"/>
          <w:lang w:val="es-ES"/>
        </w:rPr>
        <w:t> </w:t>
      </w:r>
      <w:r w:rsidRPr="008F65E8">
        <w:rPr>
          <w:rFonts w:ascii="Georgia" w:hAnsi="Georgia" w:cs="Arial"/>
          <w:b/>
          <w:bCs/>
          <w:i/>
          <w:iCs/>
          <w:color w:val="333333"/>
          <w:sz w:val="18"/>
          <w:szCs w:val="18"/>
          <w:lang w:val="es-ES"/>
        </w:rPr>
        <w:t>organizaciones representativas</w:t>
      </w:r>
      <w:r w:rsidRPr="008F65E8">
        <w:rPr>
          <w:rStyle w:val="apple-converted-space"/>
          <w:rFonts w:ascii="Georgia" w:hAnsi="Georgia" w:cs="Arial"/>
          <w:color w:val="333333"/>
          <w:sz w:val="18"/>
          <w:szCs w:val="18"/>
          <w:lang w:val="es-ES"/>
        </w:rPr>
        <w:t> </w:t>
      </w:r>
      <w:r w:rsidRPr="008F65E8">
        <w:rPr>
          <w:rFonts w:ascii="Georgia" w:hAnsi="Georgia" w:cs="Arial"/>
          <w:color w:val="333333"/>
          <w:sz w:val="18"/>
          <w:szCs w:val="18"/>
          <w:lang w:val="es-ES"/>
        </w:rPr>
        <w:t>significa las organizaciones más representativas de empleadores y de trabajadores, que gocen del derecho a la libertad sindical.</w:t>
      </w:r>
    </w:p>
    <w:p w:rsid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 w:name="A2"/>
      <w:bookmarkEnd w:id="1"/>
      <w:r>
        <w:rPr>
          <w:rFonts w:ascii="Georgia" w:hAnsi="Georgia" w:cs="Arial"/>
          <w:i/>
          <w:iCs/>
          <w:color w:val="333333"/>
          <w:sz w:val="21"/>
          <w:szCs w:val="21"/>
        </w:rPr>
        <w:t>Artículo 2</w:t>
      </w:r>
    </w:p>
    <w:p w:rsidR="008F65E8" w:rsidRPr="008F65E8" w:rsidRDefault="008F65E8" w:rsidP="008F65E8">
      <w:pPr>
        <w:numPr>
          <w:ilvl w:val="0"/>
          <w:numId w:val="35"/>
        </w:numPr>
        <w:shd w:val="clear" w:color="auto" w:fill="FFFFFF"/>
        <w:spacing w:after="144" w:line="408" w:lineRule="atLeast"/>
        <w:ind w:left="0"/>
        <w:rPr>
          <w:rFonts w:ascii="Georgia" w:hAnsi="Georgia" w:cs="Arial"/>
          <w:color w:val="333333"/>
          <w:sz w:val="18"/>
          <w:szCs w:val="18"/>
          <w:lang w:val="es-ES"/>
        </w:rPr>
      </w:pPr>
      <w:bookmarkStart w:id="2" w:name="A2P1"/>
      <w:bookmarkEnd w:id="2"/>
      <w:r w:rsidRPr="008F65E8">
        <w:rPr>
          <w:rFonts w:ascii="Georgia" w:hAnsi="Georgia" w:cs="Arial"/>
          <w:color w:val="333333"/>
          <w:sz w:val="18"/>
          <w:szCs w:val="18"/>
          <w:lang w:val="es-ES"/>
        </w:rPr>
        <w:t>1. Todo Miembro de la Organización Internacional del Trabajo que ratifique el presente Convenio se compromete a poner en práctica procedimientos que aseguren consultas efectivas, entre los representantes del gobierno, de los empleadores y de los trabajadores, sobre los asuntos relacionados con las actividades de la Organización Internacional del Trabajo a que se refiere el artículo 5, párrafo 1, más adelante.</w:t>
      </w:r>
    </w:p>
    <w:p w:rsidR="008F65E8" w:rsidRPr="008F65E8" w:rsidRDefault="008F65E8" w:rsidP="008F65E8">
      <w:pPr>
        <w:numPr>
          <w:ilvl w:val="0"/>
          <w:numId w:val="35"/>
        </w:numPr>
        <w:shd w:val="clear" w:color="auto" w:fill="FFFFFF"/>
        <w:spacing w:after="144" w:line="408" w:lineRule="atLeast"/>
        <w:ind w:left="0"/>
        <w:rPr>
          <w:rFonts w:ascii="Georgia" w:hAnsi="Georgia" w:cs="Arial"/>
          <w:color w:val="333333"/>
          <w:sz w:val="18"/>
          <w:szCs w:val="18"/>
          <w:lang w:val="es-ES"/>
        </w:rPr>
      </w:pPr>
      <w:bookmarkStart w:id="3" w:name="A2P2"/>
      <w:bookmarkEnd w:id="3"/>
      <w:r w:rsidRPr="008F65E8">
        <w:rPr>
          <w:rFonts w:ascii="Georgia" w:hAnsi="Georgia" w:cs="Arial"/>
          <w:color w:val="333333"/>
          <w:sz w:val="18"/>
          <w:szCs w:val="18"/>
          <w:lang w:val="es-ES"/>
        </w:rPr>
        <w:t>2. La naturaleza y la forma de los procedimientos a que se refiere el párrafo 1 de este artículo deberán determinarse en cada país de acuerdo con la práctica nacional, después de haber consultado a las organizaciones representativas, siempre que tales organizaciones existan y donde tales procedimientos aún no hayan sido establecidos.</w:t>
      </w:r>
    </w:p>
    <w:p w:rsid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 w:name="A3"/>
      <w:bookmarkEnd w:id="4"/>
      <w:r>
        <w:rPr>
          <w:rFonts w:ascii="Georgia" w:hAnsi="Georgia" w:cs="Arial"/>
          <w:i/>
          <w:iCs/>
          <w:color w:val="333333"/>
          <w:sz w:val="21"/>
          <w:szCs w:val="21"/>
        </w:rPr>
        <w:t>Artículo 3</w:t>
      </w:r>
    </w:p>
    <w:p w:rsidR="008F65E8" w:rsidRPr="008F65E8" w:rsidRDefault="008F65E8" w:rsidP="008F65E8">
      <w:pPr>
        <w:numPr>
          <w:ilvl w:val="0"/>
          <w:numId w:val="36"/>
        </w:numPr>
        <w:shd w:val="clear" w:color="auto" w:fill="FFFFFF"/>
        <w:spacing w:after="144" w:line="408" w:lineRule="atLeast"/>
        <w:ind w:left="0"/>
        <w:rPr>
          <w:rFonts w:ascii="Georgia" w:hAnsi="Georgia" w:cs="Arial"/>
          <w:color w:val="333333"/>
          <w:sz w:val="18"/>
          <w:szCs w:val="18"/>
          <w:lang w:val="es-ES"/>
        </w:rPr>
      </w:pPr>
      <w:bookmarkStart w:id="5" w:name="A3P1"/>
      <w:bookmarkEnd w:id="5"/>
      <w:r w:rsidRPr="008F65E8">
        <w:rPr>
          <w:rFonts w:ascii="Georgia" w:hAnsi="Georgia" w:cs="Arial"/>
          <w:color w:val="333333"/>
          <w:sz w:val="18"/>
          <w:szCs w:val="18"/>
          <w:lang w:val="es-ES"/>
        </w:rPr>
        <w:t>1. Los representantes de los empleadores y de los trabajadores, a efectos de los procedimientos previstos en el presente Convenio, serán elegidos libremente por sus organizaciones representativas, siempre que tales organizaciones existan.</w:t>
      </w:r>
    </w:p>
    <w:p w:rsidR="008F65E8" w:rsidRPr="008F65E8" w:rsidRDefault="008F65E8" w:rsidP="008F65E8">
      <w:pPr>
        <w:numPr>
          <w:ilvl w:val="0"/>
          <w:numId w:val="36"/>
        </w:numPr>
        <w:shd w:val="clear" w:color="auto" w:fill="FFFFFF"/>
        <w:spacing w:after="144" w:line="408" w:lineRule="atLeast"/>
        <w:ind w:left="0"/>
        <w:rPr>
          <w:rFonts w:ascii="Georgia" w:hAnsi="Georgia" w:cs="Arial"/>
          <w:color w:val="333333"/>
          <w:sz w:val="18"/>
          <w:szCs w:val="18"/>
          <w:lang w:val="es-ES"/>
        </w:rPr>
      </w:pPr>
      <w:bookmarkStart w:id="6" w:name="A3P2"/>
      <w:bookmarkEnd w:id="6"/>
      <w:r w:rsidRPr="008F65E8">
        <w:rPr>
          <w:rFonts w:ascii="Georgia" w:hAnsi="Georgia" w:cs="Arial"/>
          <w:color w:val="333333"/>
          <w:sz w:val="18"/>
          <w:szCs w:val="18"/>
          <w:lang w:val="es-ES"/>
        </w:rPr>
        <w:t>2. Los empleadores y los trabajadores estarán representados en pie de igualdad en cualquier organismo mediante el cual se lleven a cabo las consultas.</w:t>
      </w:r>
    </w:p>
    <w:p w:rsid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 w:name="A4"/>
      <w:bookmarkEnd w:id="7"/>
      <w:r>
        <w:rPr>
          <w:rFonts w:ascii="Georgia" w:hAnsi="Georgia" w:cs="Arial"/>
          <w:i/>
          <w:iCs/>
          <w:color w:val="333333"/>
          <w:sz w:val="21"/>
          <w:szCs w:val="21"/>
        </w:rPr>
        <w:t>Artículo 4</w:t>
      </w:r>
    </w:p>
    <w:p w:rsidR="008F65E8" w:rsidRPr="008F65E8" w:rsidRDefault="008F65E8" w:rsidP="008F65E8">
      <w:pPr>
        <w:numPr>
          <w:ilvl w:val="0"/>
          <w:numId w:val="37"/>
        </w:numPr>
        <w:shd w:val="clear" w:color="auto" w:fill="FFFFFF"/>
        <w:spacing w:after="144" w:line="408" w:lineRule="atLeast"/>
        <w:ind w:left="0"/>
        <w:rPr>
          <w:rFonts w:ascii="Georgia" w:hAnsi="Georgia" w:cs="Arial"/>
          <w:color w:val="333333"/>
          <w:sz w:val="18"/>
          <w:szCs w:val="18"/>
          <w:lang w:val="es-ES"/>
        </w:rPr>
      </w:pPr>
      <w:bookmarkStart w:id="8" w:name="A4P1"/>
      <w:bookmarkEnd w:id="8"/>
      <w:r w:rsidRPr="008F65E8">
        <w:rPr>
          <w:rFonts w:ascii="Georgia" w:hAnsi="Georgia" w:cs="Arial"/>
          <w:color w:val="333333"/>
          <w:sz w:val="18"/>
          <w:szCs w:val="18"/>
          <w:lang w:val="es-ES"/>
        </w:rPr>
        <w:t>1. La autoridad competente será responsable de los servicios administrativos de apoyo a los procedimientos previstos en el presente Convenio.</w:t>
      </w:r>
    </w:p>
    <w:p w:rsidR="008F65E8" w:rsidRPr="008F65E8" w:rsidRDefault="008F65E8" w:rsidP="008F65E8">
      <w:pPr>
        <w:numPr>
          <w:ilvl w:val="0"/>
          <w:numId w:val="37"/>
        </w:numPr>
        <w:shd w:val="clear" w:color="auto" w:fill="FFFFFF"/>
        <w:spacing w:after="144" w:line="408" w:lineRule="atLeast"/>
        <w:ind w:left="0"/>
        <w:rPr>
          <w:rFonts w:ascii="Georgia" w:hAnsi="Georgia" w:cs="Arial"/>
          <w:color w:val="333333"/>
          <w:sz w:val="18"/>
          <w:szCs w:val="18"/>
          <w:lang w:val="es-ES"/>
        </w:rPr>
      </w:pPr>
      <w:bookmarkStart w:id="9" w:name="A4P2"/>
      <w:bookmarkEnd w:id="9"/>
      <w:r w:rsidRPr="008F65E8">
        <w:rPr>
          <w:rFonts w:ascii="Georgia" w:hAnsi="Georgia" w:cs="Arial"/>
          <w:color w:val="333333"/>
          <w:sz w:val="18"/>
          <w:szCs w:val="18"/>
          <w:lang w:val="es-ES"/>
        </w:rPr>
        <w:t>2. Se celebrarán los acuerdos apropiados entre la autoridad competente y las organizaciones representativas, siempre que tales organizaciones existan, para financiar la formación que puedan necesitar los participantes en estos procedimientos.</w:t>
      </w:r>
    </w:p>
    <w:p w:rsid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0" w:name="A5"/>
      <w:bookmarkEnd w:id="10"/>
      <w:r>
        <w:rPr>
          <w:rFonts w:ascii="Georgia" w:hAnsi="Georgia" w:cs="Arial"/>
          <w:i/>
          <w:iCs/>
          <w:color w:val="333333"/>
          <w:sz w:val="21"/>
          <w:szCs w:val="21"/>
        </w:rPr>
        <w:t>Artículo 5</w:t>
      </w:r>
    </w:p>
    <w:p w:rsidR="008F65E8" w:rsidRPr="008F65E8" w:rsidRDefault="008F65E8" w:rsidP="008F65E8">
      <w:pPr>
        <w:numPr>
          <w:ilvl w:val="0"/>
          <w:numId w:val="38"/>
        </w:numPr>
        <w:shd w:val="clear" w:color="auto" w:fill="FFFFFF"/>
        <w:spacing w:after="144" w:line="408" w:lineRule="atLeast"/>
        <w:ind w:left="0"/>
        <w:rPr>
          <w:rFonts w:ascii="Georgia" w:hAnsi="Georgia" w:cs="Arial"/>
          <w:color w:val="333333"/>
          <w:sz w:val="18"/>
          <w:szCs w:val="18"/>
          <w:lang w:val="es-ES"/>
        </w:rPr>
      </w:pPr>
      <w:bookmarkStart w:id="11" w:name="A5P1"/>
      <w:bookmarkEnd w:id="11"/>
      <w:r w:rsidRPr="008F65E8">
        <w:rPr>
          <w:rFonts w:ascii="Georgia" w:hAnsi="Georgia" w:cs="Arial"/>
          <w:color w:val="333333"/>
          <w:sz w:val="18"/>
          <w:szCs w:val="18"/>
          <w:lang w:val="es-ES"/>
        </w:rPr>
        <w:t>1. El objeto de los procedimientos previstos en el presente Convenio será el de celebrar consultas sobre:</w:t>
      </w:r>
    </w:p>
    <w:p w:rsidR="008F65E8" w:rsidRPr="008F65E8" w:rsidRDefault="008F65E8" w:rsidP="008F65E8">
      <w:pPr>
        <w:numPr>
          <w:ilvl w:val="1"/>
          <w:numId w:val="38"/>
        </w:numPr>
        <w:shd w:val="clear" w:color="auto" w:fill="FFFFFF"/>
        <w:spacing w:after="144" w:line="408" w:lineRule="atLeast"/>
        <w:ind w:left="480"/>
        <w:rPr>
          <w:rFonts w:ascii="Georgia" w:hAnsi="Georgia" w:cs="Arial"/>
          <w:color w:val="333333"/>
          <w:sz w:val="18"/>
          <w:szCs w:val="18"/>
          <w:lang w:val="es-ES"/>
        </w:rPr>
      </w:pPr>
      <w:r w:rsidRPr="008F65E8">
        <w:rPr>
          <w:rFonts w:ascii="Georgia" w:hAnsi="Georgia" w:cs="Arial"/>
          <w:color w:val="333333"/>
          <w:sz w:val="18"/>
          <w:szCs w:val="18"/>
          <w:lang w:val="es-ES"/>
        </w:rPr>
        <w:lastRenderedPageBreak/>
        <w:t>(a) las respuestas de los gobiernos a los cuestionarios relativos a los puntos incluidos en el orden del día de la Conferencia Internacional del Trabajo y los comentarios de los gobiernos sobre los proyectos de texto que deba discutir la Conferencia;</w:t>
      </w:r>
    </w:p>
    <w:p w:rsidR="008F65E8" w:rsidRPr="008F65E8" w:rsidRDefault="008F65E8" w:rsidP="008F65E8">
      <w:pPr>
        <w:numPr>
          <w:ilvl w:val="1"/>
          <w:numId w:val="38"/>
        </w:numPr>
        <w:shd w:val="clear" w:color="auto" w:fill="FFFFFF"/>
        <w:spacing w:after="144" w:line="408" w:lineRule="atLeast"/>
        <w:ind w:left="480"/>
        <w:rPr>
          <w:rFonts w:ascii="Georgia" w:hAnsi="Georgia" w:cs="Arial"/>
          <w:color w:val="333333"/>
          <w:sz w:val="18"/>
          <w:szCs w:val="18"/>
          <w:lang w:val="es-ES"/>
        </w:rPr>
      </w:pPr>
      <w:r w:rsidRPr="008F65E8">
        <w:rPr>
          <w:rFonts w:ascii="Georgia" w:hAnsi="Georgia" w:cs="Arial"/>
          <w:color w:val="333333"/>
          <w:sz w:val="18"/>
          <w:szCs w:val="18"/>
          <w:lang w:val="es-ES"/>
        </w:rPr>
        <w:t>(b) las propuestas que hayan de presentarse a la autoridad o autoridades competentes en relación con la sumisión de los convenios y recomendaciones, de conformidad con el artículo 19 de la Constitución de la Organización Internacional del Trabajo;</w:t>
      </w:r>
    </w:p>
    <w:p w:rsidR="008F65E8" w:rsidRPr="008F65E8" w:rsidRDefault="008F65E8" w:rsidP="008F65E8">
      <w:pPr>
        <w:numPr>
          <w:ilvl w:val="1"/>
          <w:numId w:val="38"/>
        </w:numPr>
        <w:shd w:val="clear" w:color="auto" w:fill="FFFFFF"/>
        <w:spacing w:after="144" w:line="408" w:lineRule="atLeast"/>
        <w:ind w:left="480"/>
        <w:rPr>
          <w:rFonts w:ascii="Georgia" w:hAnsi="Georgia" w:cs="Arial"/>
          <w:color w:val="333333"/>
          <w:sz w:val="18"/>
          <w:szCs w:val="18"/>
          <w:lang w:val="es-ES"/>
        </w:rPr>
      </w:pPr>
      <w:r w:rsidRPr="008F65E8">
        <w:rPr>
          <w:rFonts w:ascii="Georgia" w:hAnsi="Georgia" w:cs="Arial"/>
          <w:color w:val="333333"/>
          <w:sz w:val="18"/>
          <w:szCs w:val="18"/>
          <w:lang w:val="es-ES"/>
        </w:rPr>
        <w:t>(c) el reexamen a intervalos apropiados de convenios no ratificados y de recomendaciones a las que no se haya dado aún efecto para estudiar qué medidas podrían tomarse para promover su puesta en práctica y su ratificación eventual;</w:t>
      </w:r>
    </w:p>
    <w:p w:rsidR="008F65E8" w:rsidRPr="008F65E8" w:rsidRDefault="008F65E8" w:rsidP="008F65E8">
      <w:pPr>
        <w:numPr>
          <w:ilvl w:val="1"/>
          <w:numId w:val="38"/>
        </w:numPr>
        <w:shd w:val="clear" w:color="auto" w:fill="FFFFFF"/>
        <w:spacing w:after="144" w:line="408" w:lineRule="atLeast"/>
        <w:ind w:left="480"/>
        <w:rPr>
          <w:rFonts w:ascii="Georgia" w:hAnsi="Georgia" w:cs="Arial"/>
          <w:color w:val="333333"/>
          <w:sz w:val="18"/>
          <w:szCs w:val="18"/>
          <w:lang w:val="es-ES"/>
        </w:rPr>
      </w:pPr>
      <w:r w:rsidRPr="008F65E8">
        <w:rPr>
          <w:rFonts w:ascii="Georgia" w:hAnsi="Georgia" w:cs="Arial"/>
          <w:color w:val="333333"/>
          <w:sz w:val="18"/>
          <w:szCs w:val="18"/>
          <w:lang w:val="es-ES"/>
        </w:rPr>
        <w:t>(d) las cuestiones que puedan plantear las memorias que hayan de comunicarse a la Oficina Internacional del Trabajo en virtud del artículo 22 de la Constitución de la Organización Internacional del Trabajo;</w:t>
      </w:r>
    </w:p>
    <w:p w:rsidR="008F65E8" w:rsidRPr="008F65E8" w:rsidRDefault="008F65E8" w:rsidP="008F65E8">
      <w:pPr>
        <w:numPr>
          <w:ilvl w:val="1"/>
          <w:numId w:val="38"/>
        </w:numPr>
        <w:shd w:val="clear" w:color="auto" w:fill="FFFFFF"/>
        <w:spacing w:after="144" w:line="408" w:lineRule="atLeast"/>
        <w:ind w:left="480"/>
        <w:rPr>
          <w:rFonts w:ascii="Georgia" w:hAnsi="Georgia" w:cs="Arial"/>
          <w:color w:val="333333"/>
          <w:sz w:val="18"/>
          <w:szCs w:val="18"/>
          <w:lang w:val="es-ES"/>
        </w:rPr>
      </w:pPr>
      <w:r w:rsidRPr="008F65E8">
        <w:rPr>
          <w:rFonts w:ascii="Georgia" w:hAnsi="Georgia" w:cs="Arial"/>
          <w:color w:val="333333"/>
          <w:sz w:val="18"/>
          <w:szCs w:val="18"/>
          <w:lang w:val="es-ES"/>
        </w:rPr>
        <w:t>(e) las propuestas de denuncia de convenios ratificados.</w:t>
      </w:r>
    </w:p>
    <w:p w:rsidR="008F65E8" w:rsidRPr="008F65E8" w:rsidRDefault="008F65E8" w:rsidP="008F65E8">
      <w:pPr>
        <w:numPr>
          <w:ilvl w:val="0"/>
          <w:numId w:val="38"/>
        </w:numPr>
        <w:shd w:val="clear" w:color="auto" w:fill="FFFFFF"/>
        <w:spacing w:after="144" w:line="408" w:lineRule="atLeast"/>
        <w:ind w:left="0"/>
        <w:rPr>
          <w:rFonts w:ascii="Georgia" w:hAnsi="Georgia" w:cs="Arial"/>
          <w:color w:val="333333"/>
          <w:sz w:val="18"/>
          <w:szCs w:val="18"/>
          <w:lang w:val="es-ES"/>
        </w:rPr>
      </w:pPr>
      <w:bookmarkStart w:id="12" w:name="A5P2"/>
      <w:bookmarkEnd w:id="12"/>
      <w:r w:rsidRPr="008F65E8">
        <w:rPr>
          <w:rFonts w:ascii="Georgia" w:hAnsi="Georgia" w:cs="Arial"/>
          <w:color w:val="333333"/>
          <w:sz w:val="18"/>
          <w:szCs w:val="18"/>
          <w:lang w:val="es-ES"/>
        </w:rPr>
        <w:t>2. A fin de garantizar el examen adecuado de las cuestiones a que se refiere el párrafo 1 de este artículo, las consultas deberán celebrarse a intervalos apropiados fijados de común acuerdo y al menos una vez al año.</w:t>
      </w:r>
    </w:p>
    <w:p w:rsidR="008F65E8" w:rsidRP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 w:name="A6"/>
      <w:bookmarkEnd w:id="13"/>
      <w:r w:rsidRPr="008F65E8">
        <w:rPr>
          <w:rFonts w:ascii="Georgia" w:hAnsi="Georgia" w:cs="Arial"/>
          <w:i/>
          <w:iCs/>
          <w:color w:val="333333"/>
          <w:sz w:val="21"/>
          <w:szCs w:val="21"/>
          <w:lang w:val="es-ES"/>
        </w:rPr>
        <w:t>Artículo 6</w:t>
      </w:r>
    </w:p>
    <w:p w:rsidR="008F65E8" w:rsidRPr="008F65E8" w:rsidRDefault="008F65E8" w:rsidP="008F65E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t>Cuando se considere apropiado, tras haber consultado con las organizaciones representativas, siempre que tales organizaciones existan, la autoridad competente presentará un informe anual sobre el funcionamiento de los procedimientos previstos en el presente Convenio.</w:t>
      </w:r>
    </w:p>
    <w:p w:rsidR="008F65E8" w:rsidRP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4" w:name="A7"/>
      <w:bookmarkEnd w:id="14"/>
      <w:r w:rsidRPr="008F65E8">
        <w:rPr>
          <w:rFonts w:ascii="Georgia" w:hAnsi="Georgia" w:cs="Arial"/>
          <w:i/>
          <w:iCs/>
          <w:color w:val="333333"/>
          <w:sz w:val="21"/>
          <w:szCs w:val="21"/>
          <w:lang w:val="es-ES"/>
        </w:rPr>
        <w:t>Artículo 7</w:t>
      </w:r>
    </w:p>
    <w:p w:rsidR="008F65E8" w:rsidRPr="008F65E8" w:rsidRDefault="008F65E8" w:rsidP="008F65E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5" w:name="A8"/>
      <w:bookmarkEnd w:id="15"/>
      <w:r>
        <w:rPr>
          <w:rFonts w:ascii="Georgia" w:hAnsi="Georgia" w:cs="Arial"/>
          <w:i/>
          <w:iCs/>
          <w:color w:val="333333"/>
          <w:sz w:val="21"/>
          <w:szCs w:val="21"/>
        </w:rPr>
        <w:t>Artículo 8</w:t>
      </w:r>
    </w:p>
    <w:p w:rsidR="008F65E8" w:rsidRPr="008F65E8" w:rsidRDefault="008F65E8" w:rsidP="008F65E8">
      <w:pPr>
        <w:numPr>
          <w:ilvl w:val="0"/>
          <w:numId w:val="39"/>
        </w:numPr>
        <w:shd w:val="clear" w:color="auto" w:fill="FFFFFF"/>
        <w:spacing w:after="144" w:line="408" w:lineRule="atLeast"/>
        <w:ind w:left="0"/>
        <w:rPr>
          <w:rFonts w:ascii="Georgia" w:hAnsi="Georgia" w:cs="Arial"/>
          <w:color w:val="333333"/>
          <w:sz w:val="18"/>
          <w:szCs w:val="18"/>
          <w:lang w:val="es-ES"/>
        </w:rPr>
      </w:pPr>
      <w:bookmarkStart w:id="16" w:name="A8P1"/>
      <w:bookmarkEnd w:id="16"/>
      <w:r w:rsidRPr="008F65E8">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8F65E8" w:rsidRPr="008F65E8" w:rsidRDefault="008F65E8" w:rsidP="008F65E8">
      <w:pPr>
        <w:numPr>
          <w:ilvl w:val="0"/>
          <w:numId w:val="39"/>
        </w:numPr>
        <w:shd w:val="clear" w:color="auto" w:fill="FFFFFF"/>
        <w:spacing w:after="144" w:line="408" w:lineRule="atLeast"/>
        <w:ind w:left="0"/>
        <w:rPr>
          <w:rFonts w:ascii="Georgia" w:hAnsi="Georgia" w:cs="Arial"/>
          <w:color w:val="333333"/>
          <w:sz w:val="18"/>
          <w:szCs w:val="18"/>
          <w:lang w:val="es-ES"/>
        </w:rPr>
      </w:pPr>
      <w:bookmarkStart w:id="17" w:name="A8P2"/>
      <w:bookmarkEnd w:id="17"/>
      <w:r w:rsidRPr="008F65E8">
        <w:rPr>
          <w:rFonts w:ascii="Georgia" w:hAnsi="Georgia" w:cs="Arial"/>
          <w:color w:val="333333"/>
          <w:sz w:val="18"/>
          <w:szCs w:val="18"/>
          <w:lang w:val="es-ES"/>
        </w:rPr>
        <w:t>2. Entrará en vigor doce meses después de la fecha en que las ratificaciones de dos Miembros hayan sido registradas por el Director General.</w:t>
      </w:r>
    </w:p>
    <w:p w:rsidR="008F65E8" w:rsidRPr="008F65E8" w:rsidRDefault="008F65E8" w:rsidP="008F65E8">
      <w:pPr>
        <w:numPr>
          <w:ilvl w:val="0"/>
          <w:numId w:val="39"/>
        </w:numPr>
        <w:shd w:val="clear" w:color="auto" w:fill="FFFFFF"/>
        <w:spacing w:after="144" w:line="408" w:lineRule="atLeast"/>
        <w:ind w:left="0"/>
        <w:rPr>
          <w:rFonts w:ascii="Georgia" w:hAnsi="Georgia" w:cs="Arial"/>
          <w:color w:val="333333"/>
          <w:sz w:val="18"/>
          <w:szCs w:val="18"/>
          <w:lang w:val="es-ES"/>
        </w:rPr>
      </w:pPr>
      <w:bookmarkStart w:id="18" w:name="A8P3"/>
      <w:bookmarkEnd w:id="18"/>
      <w:r w:rsidRPr="008F65E8">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9" w:name="A9"/>
      <w:bookmarkEnd w:id="19"/>
      <w:r>
        <w:rPr>
          <w:rFonts w:ascii="Georgia" w:hAnsi="Georgia" w:cs="Arial"/>
          <w:i/>
          <w:iCs/>
          <w:color w:val="333333"/>
          <w:sz w:val="21"/>
          <w:szCs w:val="21"/>
        </w:rPr>
        <w:lastRenderedPageBreak/>
        <w:t>Artículo 9</w:t>
      </w:r>
    </w:p>
    <w:p w:rsidR="008F65E8" w:rsidRPr="008F65E8" w:rsidRDefault="008F65E8" w:rsidP="008F65E8">
      <w:pPr>
        <w:numPr>
          <w:ilvl w:val="0"/>
          <w:numId w:val="40"/>
        </w:numPr>
        <w:shd w:val="clear" w:color="auto" w:fill="FFFFFF"/>
        <w:spacing w:after="144" w:line="408" w:lineRule="atLeast"/>
        <w:ind w:left="0"/>
        <w:rPr>
          <w:rFonts w:ascii="Georgia" w:hAnsi="Georgia" w:cs="Arial"/>
          <w:color w:val="333333"/>
          <w:sz w:val="18"/>
          <w:szCs w:val="18"/>
          <w:lang w:val="es-ES"/>
        </w:rPr>
      </w:pPr>
      <w:bookmarkStart w:id="20" w:name="A9P1"/>
      <w:bookmarkEnd w:id="20"/>
      <w:r w:rsidRPr="008F65E8">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8F65E8" w:rsidRPr="008F65E8" w:rsidRDefault="008F65E8" w:rsidP="008F65E8">
      <w:pPr>
        <w:numPr>
          <w:ilvl w:val="0"/>
          <w:numId w:val="40"/>
        </w:numPr>
        <w:shd w:val="clear" w:color="auto" w:fill="FFFFFF"/>
        <w:spacing w:after="144" w:line="408" w:lineRule="atLeast"/>
        <w:ind w:left="0"/>
        <w:rPr>
          <w:rFonts w:ascii="Georgia" w:hAnsi="Georgia" w:cs="Arial"/>
          <w:color w:val="333333"/>
          <w:sz w:val="18"/>
          <w:szCs w:val="18"/>
          <w:lang w:val="es-ES"/>
        </w:rPr>
      </w:pPr>
      <w:bookmarkStart w:id="21" w:name="A9P2"/>
      <w:bookmarkEnd w:id="21"/>
      <w:r w:rsidRPr="008F65E8">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2" w:name="A10"/>
      <w:bookmarkEnd w:id="22"/>
      <w:r>
        <w:rPr>
          <w:rFonts w:ascii="Georgia" w:hAnsi="Georgia" w:cs="Arial"/>
          <w:i/>
          <w:iCs/>
          <w:color w:val="333333"/>
          <w:sz w:val="21"/>
          <w:szCs w:val="21"/>
        </w:rPr>
        <w:t>Artículo 10</w:t>
      </w:r>
    </w:p>
    <w:p w:rsidR="008F65E8" w:rsidRPr="008F65E8" w:rsidRDefault="008F65E8" w:rsidP="008F65E8">
      <w:pPr>
        <w:numPr>
          <w:ilvl w:val="0"/>
          <w:numId w:val="41"/>
        </w:numPr>
        <w:shd w:val="clear" w:color="auto" w:fill="FFFFFF"/>
        <w:spacing w:after="144" w:line="408" w:lineRule="atLeast"/>
        <w:ind w:left="0"/>
        <w:rPr>
          <w:rFonts w:ascii="Georgia" w:hAnsi="Georgia" w:cs="Arial"/>
          <w:color w:val="333333"/>
          <w:sz w:val="18"/>
          <w:szCs w:val="18"/>
          <w:lang w:val="es-ES"/>
        </w:rPr>
      </w:pPr>
      <w:bookmarkStart w:id="23" w:name="A10P1"/>
      <w:bookmarkEnd w:id="23"/>
      <w:r w:rsidRPr="008F65E8">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8F65E8" w:rsidRPr="008F65E8" w:rsidRDefault="008F65E8" w:rsidP="008F65E8">
      <w:pPr>
        <w:numPr>
          <w:ilvl w:val="0"/>
          <w:numId w:val="41"/>
        </w:numPr>
        <w:shd w:val="clear" w:color="auto" w:fill="FFFFFF"/>
        <w:spacing w:after="144" w:line="408" w:lineRule="atLeast"/>
        <w:ind w:left="0"/>
        <w:rPr>
          <w:rFonts w:ascii="Georgia" w:hAnsi="Georgia" w:cs="Arial"/>
          <w:color w:val="333333"/>
          <w:sz w:val="18"/>
          <w:szCs w:val="18"/>
          <w:lang w:val="es-ES"/>
        </w:rPr>
      </w:pPr>
      <w:bookmarkStart w:id="24" w:name="A10P2"/>
      <w:bookmarkEnd w:id="24"/>
      <w:r w:rsidRPr="008F65E8">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8F65E8" w:rsidRP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5" w:name="A11"/>
      <w:bookmarkEnd w:id="25"/>
      <w:r w:rsidRPr="008F65E8">
        <w:rPr>
          <w:rFonts w:ascii="Georgia" w:hAnsi="Georgia" w:cs="Arial"/>
          <w:i/>
          <w:iCs/>
          <w:color w:val="333333"/>
          <w:sz w:val="21"/>
          <w:szCs w:val="21"/>
          <w:lang w:val="es-ES"/>
        </w:rPr>
        <w:t>Artículo 11</w:t>
      </w:r>
    </w:p>
    <w:p w:rsidR="008F65E8" w:rsidRPr="008F65E8" w:rsidRDefault="008F65E8" w:rsidP="008F65E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8F65E8" w:rsidRP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6" w:name="A12"/>
      <w:bookmarkEnd w:id="26"/>
      <w:r w:rsidRPr="008F65E8">
        <w:rPr>
          <w:rFonts w:ascii="Georgia" w:hAnsi="Georgia" w:cs="Arial"/>
          <w:i/>
          <w:iCs/>
          <w:color w:val="333333"/>
          <w:sz w:val="21"/>
          <w:szCs w:val="21"/>
          <w:lang w:val="es-ES"/>
        </w:rPr>
        <w:t>Artículo 12</w:t>
      </w:r>
    </w:p>
    <w:p w:rsidR="008F65E8" w:rsidRPr="008F65E8" w:rsidRDefault="008F65E8" w:rsidP="008F65E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7" w:name="A13"/>
      <w:bookmarkEnd w:id="27"/>
      <w:r>
        <w:rPr>
          <w:rFonts w:ascii="Georgia" w:hAnsi="Georgia" w:cs="Arial"/>
          <w:i/>
          <w:iCs/>
          <w:color w:val="333333"/>
          <w:sz w:val="21"/>
          <w:szCs w:val="21"/>
        </w:rPr>
        <w:t>Artículo 13</w:t>
      </w:r>
    </w:p>
    <w:p w:rsidR="008F65E8" w:rsidRPr="008F65E8" w:rsidRDefault="008F65E8" w:rsidP="008F65E8">
      <w:pPr>
        <w:numPr>
          <w:ilvl w:val="0"/>
          <w:numId w:val="42"/>
        </w:numPr>
        <w:shd w:val="clear" w:color="auto" w:fill="FFFFFF"/>
        <w:spacing w:after="144" w:line="408" w:lineRule="atLeast"/>
        <w:ind w:left="0"/>
        <w:rPr>
          <w:rFonts w:ascii="Georgia" w:hAnsi="Georgia" w:cs="Arial"/>
          <w:color w:val="333333"/>
          <w:sz w:val="18"/>
          <w:szCs w:val="18"/>
          <w:lang w:val="es-ES"/>
        </w:rPr>
      </w:pPr>
      <w:bookmarkStart w:id="28" w:name="A13P1"/>
      <w:bookmarkEnd w:id="28"/>
      <w:r w:rsidRPr="008F65E8">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8F65E8" w:rsidRPr="008F65E8" w:rsidRDefault="008F65E8" w:rsidP="008F65E8">
      <w:pPr>
        <w:numPr>
          <w:ilvl w:val="1"/>
          <w:numId w:val="42"/>
        </w:numPr>
        <w:shd w:val="clear" w:color="auto" w:fill="FFFFFF"/>
        <w:spacing w:after="144" w:line="408" w:lineRule="atLeast"/>
        <w:ind w:left="480"/>
        <w:rPr>
          <w:rFonts w:ascii="Georgia" w:hAnsi="Georgia" w:cs="Arial"/>
          <w:color w:val="333333"/>
          <w:sz w:val="18"/>
          <w:szCs w:val="18"/>
          <w:lang w:val="es-ES"/>
        </w:rPr>
      </w:pPr>
      <w:r w:rsidRPr="008F65E8">
        <w:rPr>
          <w:rFonts w:ascii="Georgia" w:hAnsi="Georgia" w:cs="Arial"/>
          <w:color w:val="333333"/>
          <w:sz w:val="18"/>
          <w:szCs w:val="18"/>
          <w:lang w:val="es-ES"/>
        </w:rPr>
        <w:lastRenderedPageBreak/>
        <w:t>(a) la ratificación, por un Miembro, del nuevo convenio revisor implicará, ipso jure, la denuncia inmediata de este Convenio, no obstante las disposiciones contenidas en el artículo 9, siempre que el nuevo convenio revisor haya entrado en vigor;</w:t>
      </w:r>
    </w:p>
    <w:p w:rsidR="008F65E8" w:rsidRPr="008F65E8" w:rsidRDefault="008F65E8" w:rsidP="008F65E8">
      <w:pPr>
        <w:numPr>
          <w:ilvl w:val="1"/>
          <w:numId w:val="42"/>
        </w:numPr>
        <w:shd w:val="clear" w:color="auto" w:fill="FFFFFF"/>
        <w:spacing w:after="144" w:line="408" w:lineRule="atLeast"/>
        <w:ind w:left="480"/>
        <w:rPr>
          <w:rFonts w:ascii="Georgia" w:hAnsi="Georgia" w:cs="Arial"/>
          <w:color w:val="333333"/>
          <w:sz w:val="18"/>
          <w:szCs w:val="18"/>
          <w:lang w:val="es-ES"/>
        </w:rPr>
      </w:pPr>
      <w:r w:rsidRPr="008F65E8">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8F65E8" w:rsidRPr="008F65E8" w:rsidRDefault="008F65E8" w:rsidP="008F65E8">
      <w:pPr>
        <w:numPr>
          <w:ilvl w:val="0"/>
          <w:numId w:val="42"/>
        </w:numPr>
        <w:shd w:val="clear" w:color="auto" w:fill="FFFFFF"/>
        <w:spacing w:after="144" w:line="408" w:lineRule="atLeast"/>
        <w:ind w:left="0"/>
        <w:rPr>
          <w:rFonts w:ascii="Georgia" w:hAnsi="Georgia" w:cs="Arial"/>
          <w:color w:val="333333"/>
          <w:sz w:val="18"/>
          <w:szCs w:val="18"/>
          <w:lang w:val="es-ES"/>
        </w:rPr>
      </w:pPr>
      <w:bookmarkStart w:id="29" w:name="A13P2"/>
      <w:bookmarkEnd w:id="29"/>
      <w:r w:rsidRPr="008F65E8">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8F65E8" w:rsidRPr="008F65E8" w:rsidRDefault="008F65E8" w:rsidP="008F65E8">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0" w:name="A14"/>
      <w:bookmarkEnd w:id="30"/>
      <w:r w:rsidRPr="008F65E8">
        <w:rPr>
          <w:rFonts w:ascii="Georgia" w:hAnsi="Georgia" w:cs="Arial"/>
          <w:i/>
          <w:iCs/>
          <w:color w:val="333333"/>
          <w:sz w:val="21"/>
          <w:szCs w:val="21"/>
          <w:lang w:val="es-ES"/>
        </w:rPr>
        <w:t>Artículo 14</w:t>
      </w:r>
    </w:p>
    <w:p w:rsidR="008F65E8" w:rsidRPr="008F65E8" w:rsidRDefault="008F65E8" w:rsidP="008F65E8">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8F65E8">
        <w:rPr>
          <w:rFonts w:ascii="Georgia" w:hAnsi="Georgia" w:cs="Arial"/>
          <w:color w:val="333333"/>
          <w:sz w:val="18"/>
          <w:szCs w:val="18"/>
          <w:lang w:val="es-ES"/>
        </w:rPr>
        <w:t>Las versiones inglesa y francesa del texto de este Convenio son igualmente auténticas.</w:t>
      </w:r>
    </w:p>
    <w:p w:rsidR="0069165A" w:rsidRPr="008F65E8" w:rsidRDefault="0069165A" w:rsidP="008F65E8">
      <w:pPr>
        <w:rPr>
          <w:lang w:val="es-ES"/>
        </w:rPr>
      </w:pPr>
    </w:p>
    <w:sectPr w:rsidR="0069165A" w:rsidRPr="008F65E8"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DC" w:rsidRDefault="000834DC" w:rsidP="00CA3249">
      <w:r>
        <w:separator/>
      </w:r>
    </w:p>
  </w:endnote>
  <w:endnote w:type="continuationSeparator" w:id="0">
    <w:p w:rsidR="000834DC" w:rsidRDefault="000834DC"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30" w:rsidRDefault="002368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30" w:rsidRDefault="002368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30" w:rsidRDefault="00236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DC" w:rsidRDefault="000834DC" w:rsidP="00CA3249">
      <w:r>
        <w:separator/>
      </w:r>
    </w:p>
  </w:footnote>
  <w:footnote w:type="continuationSeparator" w:id="0">
    <w:p w:rsidR="000834DC" w:rsidRDefault="000834DC"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30" w:rsidRDefault="002368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830" w:rsidRDefault="00236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B92"/>
    <w:multiLevelType w:val="multilevel"/>
    <w:tmpl w:val="23AE5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D5B5F"/>
    <w:multiLevelType w:val="multilevel"/>
    <w:tmpl w:val="1E7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C6624"/>
    <w:multiLevelType w:val="multilevel"/>
    <w:tmpl w:val="68AE56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D3165"/>
    <w:multiLevelType w:val="multilevel"/>
    <w:tmpl w:val="3836B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124EE"/>
    <w:multiLevelType w:val="multilevel"/>
    <w:tmpl w:val="FFD2D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270D0"/>
    <w:multiLevelType w:val="multilevel"/>
    <w:tmpl w:val="54D62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51A45"/>
    <w:multiLevelType w:val="multilevel"/>
    <w:tmpl w:val="DD6C0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03C7C"/>
    <w:multiLevelType w:val="multilevel"/>
    <w:tmpl w:val="2A08CC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47B7C"/>
    <w:multiLevelType w:val="multilevel"/>
    <w:tmpl w:val="41AE1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E3E7A"/>
    <w:multiLevelType w:val="multilevel"/>
    <w:tmpl w:val="02225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D01F0"/>
    <w:multiLevelType w:val="multilevel"/>
    <w:tmpl w:val="FF4CA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FA7577"/>
    <w:multiLevelType w:val="multilevel"/>
    <w:tmpl w:val="29806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12F6C"/>
    <w:multiLevelType w:val="multilevel"/>
    <w:tmpl w:val="1C124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A78F9"/>
    <w:multiLevelType w:val="multilevel"/>
    <w:tmpl w:val="5776C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B11CF6"/>
    <w:multiLevelType w:val="multilevel"/>
    <w:tmpl w:val="7090B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F0F85"/>
    <w:multiLevelType w:val="multilevel"/>
    <w:tmpl w:val="35D205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58169F"/>
    <w:multiLevelType w:val="multilevel"/>
    <w:tmpl w:val="31D64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36D53"/>
    <w:multiLevelType w:val="multilevel"/>
    <w:tmpl w:val="D5329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836FD"/>
    <w:multiLevelType w:val="multilevel"/>
    <w:tmpl w:val="6B18E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80442A"/>
    <w:multiLevelType w:val="multilevel"/>
    <w:tmpl w:val="603C79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3F60D2"/>
    <w:multiLevelType w:val="multilevel"/>
    <w:tmpl w:val="41F26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2B7391"/>
    <w:multiLevelType w:val="multilevel"/>
    <w:tmpl w:val="8C284B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BA3587"/>
    <w:multiLevelType w:val="multilevel"/>
    <w:tmpl w:val="74DCAC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F56068"/>
    <w:multiLevelType w:val="multilevel"/>
    <w:tmpl w:val="7A163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E317FB"/>
    <w:multiLevelType w:val="multilevel"/>
    <w:tmpl w:val="75327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6B751D"/>
    <w:multiLevelType w:val="multilevel"/>
    <w:tmpl w:val="61A8B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B861C2"/>
    <w:multiLevelType w:val="multilevel"/>
    <w:tmpl w:val="4B16F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EC1377"/>
    <w:multiLevelType w:val="multilevel"/>
    <w:tmpl w:val="D548AA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053FDA"/>
    <w:multiLevelType w:val="multilevel"/>
    <w:tmpl w:val="9B102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F77680"/>
    <w:multiLevelType w:val="multilevel"/>
    <w:tmpl w:val="CD2A6A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005BD0"/>
    <w:multiLevelType w:val="multilevel"/>
    <w:tmpl w:val="EC24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DA530C"/>
    <w:multiLevelType w:val="multilevel"/>
    <w:tmpl w:val="98A80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5C4097"/>
    <w:multiLevelType w:val="multilevel"/>
    <w:tmpl w:val="5378A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162467"/>
    <w:multiLevelType w:val="multilevel"/>
    <w:tmpl w:val="8E443A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2B4C1D"/>
    <w:multiLevelType w:val="multilevel"/>
    <w:tmpl w:val="854062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557B41"/>
    <w:multiLevelType w:val="multilevel"/>
    <w:tmpl w:val="5EE4E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D321B3"/>
    <w:multiLevelType w:val="multilevel"/>
    <w:tmpl w:val="359C03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B63D75"/>
    <w:multiLevelType w:val="multilevel"/>
    <w:tmpl w:val="E1E0E5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C829C7"/>
    <w:multiLevelType w:val="multilevel"/>
    <w:tmpl w:val="BDDC2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B068F9"/>
    <w:multiLevelType w:val="multilevel"/>
    <w:tmpl w:val="C7022E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BD468B"/>
    <w:multiLevelType w:val="multilevel"/>
    <w:tmpl w:val="ECF4ED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93541A"/>
    <w:multiLevelType w:val="multilevel"/>
    <w:tmpl w:val="6F7C87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9"/>
  </w:num>
  <w:num w:numId="3">
    <w:abstractNumId w:val="12"/>
  </w:num>
  <w:num w:numId="4">
    <w:abstractNumId w:val="24"/>
  </w:num>
  <w:num w:numId="5">
    <w:abstractNumId w:val="38"/>
  </w:num>
  <w:num w:numId="6">
    <w:abstractNumId w:val="15"/>
  </w:num>
  <w:num w:numId="7">
    <w:abstractNumId w:val="13"/>
  </w:num>
  <w:num w:numId="8">
    <w:abstractNumId w:val="29"/>
  </w:num>
  <w:num w:numId="9">
    <w:abstractNumId w:val="40"/>
  </w:num>
  <w:num w:numId="10">
    <w:abstractNumId w:val="5"/>
  </w:num>
  <w:num w:numId="11">
    <w:abstractNumId w:val="3"/>
  </w:num>
  <w:num w:numId="12">
    <w:abstractNumId w:val="21"/>
  </w:num>
  <w:num w:numId="13">
    <w:abstractNumId w:val="32"/>
  </w:num>
  <w:num w:numId="14">
    <w:abstractNumId w:val="34"/>
  </w:num>
  <w:num w:numId="15">
    <w:abstractNumId w:val="36"/>
  </w:num>
  <w:num w:numId="16">
    <w:abstractNumId w:val="23"/>
  </w:num>
  <w:num w:numId="17">
    <w:abstractNumId w:val="1"/>
  </w:num>
  <w:num w:numId="18">
    <w:abstractNumId w:val="8"/>
  </w:num>
  <w:num w:numId="19">
    <w:abstractNumId w:val="14"/>
  </w:num>
  <w:num w:numId="20">
    <w:abstractNumId w:val="33"/>
  </w:num>
  <w:num w:numId="21">
    <w:abstractNumId w:val="6"/>
  </w:num>
  <w:num w:numId="22">
    <w:abstractNumId w:val="31"/>
  </w:num>
  <w:num w:numId="23">
    <w:abstractNumId w:val="41"/>
  </w:num>
  <w:num w:numId="24">
    <w:abstractNumId w:val="22"/>
  </w:num>
  <w:num w:numId="25">
    <w:abstractNumId w:val="26"/>
  </w:num>
  <w:num w:numId="26">
    <w:abstractNumId w:val="20"/>
  </w:num>
  <w:num w:numId="27">
    <w:abstractNumId w:val="28"/>
  </w:num>
  <w:num w:numId="28">
    <w:abstractNumId w:val="7"/>
  </w:num>
  <w:num w:numId="29">
    <w:abstractNumId w:val="37"/>
  </w:num>
  <w:num w:numId="30">
    <w:abstractNumId w:val="4"/>
  </w:num>
  <w:num w:numId="31">
    <w:abstractNumId w:val="25"/>
  </w:num>
  <w:num w:numId="32">
    <w:abstractNumId w:val="18"/>
  </w:num>
  <w:num w:numId="33">
    <w:abstractNumId w:val="10"/>
  </w:num>
  <w:num w:numId="34">
    <w:abstractNumId w:val="2"/>
  </w:num>
  <w:num w:numId="35">
    <w:abstractNumId w:val="0"/>
  </w:num>
  <w:num w:numId="36">
    <w:abstractNumId w:val="35"/>
  </w:num>
  <w:num w:numId="37">
    <w:abstractNumId w:val="17"/>
  </w:num>
  <w:num w:numId="38">
    <w:abstractNumId w:val="27"/>
  </w:num>
  <w:num w:numId="39">
    <w:abstractNumId w:val="16"/>
  </w:num>
  <w:num w:numId="40">
    <w:abstractNumId w:val="30"/>
  </w:num>
  <w:num w:numId="41">
    <w:abstractNumId w:val="11"/>
  </w:num>
  <w:num w:numId="42">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834DC"/>
    <w:rsid w:val="000E6D2C"/>
    <w:rsid w:val="0010670D"/>
    <w:rsid w:val="001265EA"/>
    <w:rsid w:val="0013435D"/>
    <w:rsid w:val="00151FC7"/>
    <w:rsid w:val="00160052"/>
    <w:rsid w:val="00167CC3"/>
    <w:rsid w:val="00197511"/>
    <w:rsid w:val="001C3662"/>
    <w:rsid w:val="001C682E"/>
    <w:rsid w:val="001D0886"/>
    <w:rsid w:val="001F6DBE"/>
    <w:rsid w:val="00215FAC"/>
    <w:rsid w:val="00236830"/>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E6FF1"/>
    <w:rsid w:val="00604636"/>
    <w:rsid w:val="00661F04"/>
    <w:rsid w:val="0069165A"/>
    <w:rsid w:val="006B2FDB"/>
    <w:rsid w:val="006D269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C7011"/>
    <w:rsid w:val="00AD7531"/>
    <w:rsid w:val="00B07351"/>
    <w:rsid w:val="00B47018"/>
    <w:rsid w:val="00B6302A"/>
    <w:rsid w:val="00BE7620"/>
    <w:rsid w:val="00C146D1"/>
    <w:rsid w:val="00C17060"/>
    <w:rsid w:val="00C173A7"/>
    <w:rsid w:val="00C605D1"/>
    <w:rsid w:val="00CA3249"/>
    <w:rsid w:val="00D00C0A"/>
    <w:rsid w:val="00D140C4"/>
    <w:rsid w:val="00D35ED7"/>
    <w:rsid w:val="00D73AB0"/>
    <w:rsid w:val="00D90E72"/>
    <w:rsid w:val="00DB1B6B"/>
    <w:rsid w:val="00DB40B7"/>
    <w:rsid w:val="00DC1A3D"/>
    <w:rsid w:val="00E413B3"/>
    <w:rsid w:val="00E46712"/>
    <w:rsid w:val="00E50613"/>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F3A0-6997-4E24-ACC3-340122CA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2012-11-27T21:54:00Z</dcterms:created>
  <dcterms:modified xsi:type="dcterms:W3CDTF">2012-11-28T01:35:00Z</dcterms:modified>
</cp:coreProperties>
</file>